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792"/>
        <w:gridCol w:w="15369"/>
      </w:tblGrid>
      <w:tr w:rsidR="00385739" w:rsidTr="00967098">
        <w:trPr>
          <w:trHeight w:val="692"/>
        </w:trPr>
        <w:tc>
          <w:tcPr>
            <w:tcW w:w="792" w:type="dxa"/>
            <w:shd w:val="clear" w:color="auto" w:fill="FFD966" w:themeFill="accent4" w:themeFillTint="99"/>
            <w:textDirection w:val="btLr"/>
          </w:tcPr>
          <w:p w:rsidR="002462FD" w:rsidRPr="00385739" w:rsidRDefault="00385739" w:rsidP="00385739">
            <w:pPr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Cs w:val="36"/>
                <w:lang w:eastAsia="en-GB"/>
              </w:rPr>
              <w:drawing>
                <wp:inline distT="0" distB="0" distL="0" distR="0">
                  <wp:extent cx="360000" cy="360000"/>
                  <wp:effectExtent l="0" t="0" r="2540" b="2540"/>
                  <wp:docPr id="1" name="Picture 1" descr="C:\Users\ros.monaghan\AppData\Local\Microsoft\Windows\INetCache\Content.MSO\E327A6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.monaghan\AppData\Local\Microsoft\Windows\INetCache\Content.MSO\E327A6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9" w:type="dxa"/>
            <w:shd w:val="clear" w:color="auto" w:fill="FFD966" w:themeFill="accent4" w:themeFillTint="99"/>
          </w:tcPr>
          <w:p w:rsidR="002462FD" w:rsidRPr="00385739" w:rsidRDefault="00385739" w:rsidP="00D165B9">
            <w:pPr>
              <w:jc w:val="center"/>
              <w:outlineLvl w:val="1"/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</w:pPr>
            <w:r w:rsidRPr="00385739"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  <w:t xml:space="preserve">Year Two </w:t>
            </w:r>
            <w:r w:rsidR="00D165B9"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  <w:t>English</w:t>
            </w:r>
            <w:r w:rsidRPr="00385739"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  <w:t xml:space="preserve"> Curriculum</w:t>
            </w:r>
          </w:p>
        </w:tc>
      </w:tr>
      <w:tr w:rsidR="00B14E67" w:rsidTr="00967098">
        <w:tc>
          <w:tcPr>
            <w:tcW w:w="792" w:type="dxa"/>
            <w:vMerge w:val="restart"/>
            <w:shd w:val="clear" w:color="auto" w:fill="FFD966" w:themeFill="accent4" w:themeFillTint="99"/>
            <w:textDirection w:val="btLr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  <w:r w:rsidRPr="00B14E67">
              <w:rPr>
                <w:rFonts w:asciiTheme="majorHAnsi" w:hAnsiTheme="majorHAnsi" w:cstheme="majorHAnsi"/>
                <w:b/>
                <w:color w:val="333333"/>
              </w:rPr>
              <w:t>Word Reading</w:t>
            </w: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Continue to apply phonic knowledge and skills as the route to decode words until automatic decoding has become embedded and reading is fluent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B14E67" w:rsidRDefault="00B14E67" w:rsidP="00385739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words containing common suffixes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B14E67" w:rsidRDefault="00B14E67" w:rsidP="00385739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further common exception words, noting unusual correspondence between spelling and sound and where these occur in the word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most words quickly and accurately, without overt sounding and blending , when they have been frequently encountered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aloud books closely matched to their improving phonic knowledge, sounding out unfamiliar words accurately, automatically and without undue hesitation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accurately by blending the sounds in words that contain the graphemes taught so far, especially recognising alternative sounds for graphemes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Reread these books to build up their fluency and confidence in word reading.</w:t>
            </w:r>
          </w:p>
        </w:tc>
      </w:tr>
      <w:tr w:rsidR="00B14E67" w:rsidTr="009961EA">
        <w:trPr>
          <w:trHeight w:val="176"/>
        </w:trPr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B14E67" w:rsidRDefault="00B14E67" w:rsidP="00385739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B14E67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B14E67">
              <w:rPr>
                <w:rFonts w:asciiTheme="majorHAnsi" w:hAnsiTheme="majorHAnsi" w:cstheme="majorHAnsi"/>
                <w:color w:val="333333"/>
              </w:rPr>
              <w:t>Read accurately words of two or more syllables that contain the same graphemes as above</w:t>
            </w:r>
          </w:p>
        </w:tc>
      </w:tr>
      <w:tr w:rsidR="00B14E67" w:rsidTr="00967098">
        <w:tc>
          <w:tcPr>
            <w:tcW w:w="792" w:type="dxa"/>
            <w:vMerge w:val="restart"/>
            <w:shd w:val="clear" w:color="auto" w:fill="FFD966" w:themeFill="accent4" w:themeFillTint="99"/>
            <w:textDirection w:val="btLr"/>
          </w:tcPr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  <w:r w:rsidRPr="00B14E67">
              <w:rPr>
                <w:rFonts w:asciiTheme="majorHAnsi" w:hAnsiTheme="majorHAnsi" w:cstheme="majorHAnsi"/>
                <w:b/>
                <w:color w:val="333333"/>
              </w:rPr>
              <w:t>Comprehension</w:t>
            </w:r>
          </w:p>
          <w:p w:rsidR="00B14E67" w:rsidRPr="00B14E67" w:rsidRDefault="00B14E67" w:rsidP="00B14E67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Develop pleasure in reading, motivation to read, vocabulary and understanding by: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385739" w:rsidRDefault="00B14E67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discussing the sequence of events in books and how items of information are related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becoming increasingly familiar with and retelling a wider range of stories, fairy stories and traditional tales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being introduced to non-fiction books that are structured in different ways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recognising simple recurring literary language in stories and poetry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discussing and clarifying the meanings of words, linking new meanings to known vocabulary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discussing their favourite words and phrases</w:t>
            </w:r>
          </w:p>
          <w:p w:rsidR="00B14E67" w:rsidRPr="00967098" w:rsidRDefault="00B14E67" w:rsidP="0096709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continuing to build up a repertoire of poems learnt by heart, appreciating these and reciting some, with appropriate intonation to make the meaning clear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385739" w:rsidRDefault="00B14E67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Understand both the books that they can already read accurately and fluently and those that they listen to by</w:t>
            </w:r>
          </w:p>
          <w:p w:rsidR="00B14E67" w:rsidRPr="00967098" w:rsidRDefault="00B14E67" w:rsidP="0096709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drawing on what they already know or on background information and vocabulary provided by the teacher</w:t>
            </w:r>
          </w:p>
          <w:p w:rsidR="00B14E67" w:rsidRPr="00967098" w:rsidRDefault="00B14E67" w:rsidP="0096709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checking that the text makes sense to them as they read, and correcting inaccurate reading</w:t>
            </w:r>
          </w:p>
          <w:p w:rsidR="00B14E67" w:rsidRPr="00967098" w:rsidRDefault="00B14E67" w:rsidP="0096709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making inferences on the basis of what is being said and done</w:t>
            </w:r>
          </w:p>
          <w:p w:rsidR="00B14E67" w:rsidRPr="00967098" w:rsidRDefault="00B14E67" w:rsidP="0096709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answering and asking questions</w:t>
            </w:r>
          </w:p>
          <w:p w:rsidR="00B14E67" w:rsidRPr="009961EA" w:rsidRDefault="00B14E67" w:rsidP="0096709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predicting what might happen on the basis of what has been read so far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385739" w:rsidRDefault="00B14E67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bookmarkStart w:id="0" w:name="TOC-Ma2-2.3-Multiplication-Division"/>
            <w:bookmarkEnd w:id="0"/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Participate in discussion about books, poems and other works that are read to them and those that they can read for themselves, taking turns and listening to what others say</w:t>
            </w:r>
          </w:p>
        </w:tc>
      </w:tr>
      <w:tr w:rsidR="00B14E67" w:rsidTr="00967098">
        <w:trPr>
          <w:trHeight w:val="87"/>
        </w:trPr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385739" w:rsidRDefault="00B14E67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Explain and discuss their understanding of books, poems and other material, both those that they listen to and those that they read for themselves.</w:t>
            </w:r>
          </w:p>
        </w:tc>
      </w:tr>
      <w:tr w:rsidR="00B14E67" w:rsidTr="00967098">
        <w:tc>
          <w:tcPr>
            <w:tcW w:w="792" w:type="dxa"/>
            <w:vMerge w:val="restart"/>
            <w:shd w:val="clear" w:color="auto" w:fill="FFD966" w:themeFill="accent4" w:themeFillTint="99"/>
            <w:textDirection w:val="btLr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  <w:r w:rsidRPr="00967098">
              <w:rPr>
                <w:rFonts w:asciiTheme="majorHAnsi" w:hAnsiTheme="majorHAnsi" w:cstheme="majorHAnsi"/>
                <w:b/>
                <w:color w:val="333333"/>
              </w:rPr>
              <w:t>Spelling</w:t>
            </w:r>
          </w:p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spell by: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segmenting spoken words into phonemes and representing these by graphemes, spelling many correctly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new ways of spelling phonemes for which 1 or more spellings are already known, and learn some words with each spelling, including a few common homophones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to spell common exception words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to spell more words with contracted forms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the possessive apostrophe (singular)</w:t>
            </w:r>
          </w:p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distinguishing between homophones and near-homophones</w:t>
            </w:r>
          </w:p>
        </w:tc>
      </w:tr>
      <w:tr w:rsidR="00B14E67" w:rsidTr="00967098"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Add suffixes to spell longer words, including –</w:t>
            </w:r>
            <w:proofErr w:type="spellStart"/>
            <w:r w:rsidRPr="00967098">
              <w:rPr>
                <w:rFonts w:asciiTheme="majorHAnsi" w:hAnsiTheme="majorHAnsi" w:cstheme="majorHAnsi"/>
                <w:color w:val="333333"/>
              </w:rPr>
              <w:t>ment</w:t>
            </w:r>
            <w:proofErr w:type="spellEnd"/>
            <w:r w:rsidRPr="00967098">
              <w:rPr>
                <w:rFonts w:asciiTheme="majorHAnsi" w:hAnsiTheme="majorHAnsi" w:cstheme="majorHAnsi"/>
                <w:color w:val="333333"/>
              </w:rPr>
              <w:t>, –ness, –</w:t>
            </w:r>
            <w:proofErr w:type="spellStart"/>
            <w:r w:rsidRPr="00967098">
              <w:rPr>
                <w:rFonts w:asciiTheme="majorHAnsi" w:hAnsiTheme="majorHAnsi" w:cstheme="majorHAnsi"/>
                <w:color w:val="333333"/>
              </w:rPr>
              <w:t>ful</w:t>
            </w:r>
            <w:proofErr w:type="spellEnd"/>
            <w:r w:rsidRPr="00967098">
              <w:rPr>
                <w:rFonts w:asciiTheme="majorHAnsi" w:hAnsiTheme="majorHAnsi" w:cstheme="majorHAnsi"/>
                <w:color w:val="333333"/>
              </w:rPr>
              <w:t>, –less, –</w:t>
            </w:r>
            <w:proofErr w:type="spellStart"/>
            <w:r w:rsidRPr="00967098">
              <w:rPr>
                <w:rFonts w:asciiTheme="majorHAnsi" w:hAnsiTheme="majorHAnsi" w:cstheme="majorHAnsi"/>
                <w:color w:val="333333"/>
              </w:rPr>
              <w:t>ly</w:t>
            </w:r>
            <w:proofErr w:type="spellEnd"/>
          </w:p>
        </w:tc>
      </w:tr>
      <w:tr w:rsidR="00B14E67" w:rsidTr="00967098">
        <w:trPr>
          <w:cantSplit/>
          <w:trHeight w:val="466"/>
        </w:trPr>
        <w:tc>
          <w:tcPr>
            <w:tcW w:w="792" w:type="dxa"/>
            <w:vMerge/>
            <w:shd w:val="clear" w:color="auto" w:fill="FFD966" w:themeFill="accent4" w:themeFillTint="99"/>
            <w:textDirection w:val="btLr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Apply spelling rules and guidelines, as listed in </w:t>
            </w:r>
            <w:hyperlink r:id="rId6" w:tgtFrame="_blank" w:history="1">
              <w:r w:rsidRPr="00967098">
                <w:rPr>
                  <w:rFonts w:asciiTheme="majorHAnsi" w:hAnsiTheme="majorHAnsi" w:cstheme="majorHAnsi"/>
                  <w:color w:val="333333"/>
                </w:rPr>
                <w:t>English Appendix 1</w:t>
              </w:r>
            </w:hyperlink>
          </w:p>
        </w:tc>
      </w:tr>
      <w:tr w:rsidR="00B14E67" w:rsidTr="00967098">
        <w:trPr>
          <w:trHeight w:val="438"/>
        </w:trPr>
        <w:tc>
          <w:tcPr>
            <w:tcW w:w="792" w:type="dxa"/>
            <w:vMerge/>
            <w:shd w:val="clear" w:color="auto" w:fill="FFD966" w:themeFill="accent4" w:themeFillTint="99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Write from memory simple sentences dictated by the teacher that include words using the GPCs, common exception words and punctuation taught so far.</w:t>
            </w:r>
          </w:p>
        </w:tc>
      </w:tr>
      <w:tr w:rsidR="00385739" w:rsidTr="00967098">
        <w:tc>
          <w:tcPr>
            <w:tcW w:w="792" w:type="dxa"/>
            <w:vMerge w:val="restart"/>
            <w:shd w:val="clear" w:color="auto" w:fill="FFD966" w:themeFill="accent4" w:themeFillTint="99"/>
            <w:textDirection w:val="btLr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  <w:r w:rsidRPr="00967098">
              <w:rPr>
                <w:rFonts w:asciiTheme="majorHAnsi" w:hAnsiTheme="majorHAnsi" w:cstheme="majorHAnsi"/>
                <w:b/>
                <w:color w:val="333333"/>
              </w:rPr>
              <w:t>Composition</w:t>
            </w:r>
          </w:p>
          <w:p w:rsidR="00385739" w:rsidRPr="00967098" w:rsidRDefault="00385739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Develop positive attitudes towards and stamina for writing by:</w:t>
            </w:r>
          </w:p>
          <w:p w:rsidR="00B14E67" w:rsidRPr="00967098" w:rsidRDefault="00B14E67" w:rsidP="00967098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writing narratives about personal experiences and those of others (real and fictional)</w:t>
            </w:r>
          </w:p>
          <w:p w:rsidR="00B14E67" w:rsidRPr="00967098" w:rsidRDefault="00B14E67" w:rsidP="00967098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writing about real events</w:t>
            </w:r>
          </w:p>
          <w:p w:rsidR="00B14E67" w:rsidRPr="00967098" w:rsidRDefault="00B14E67" w:rsidP="00967098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writing poetry</w:t>
            </w:r>
          </w:p>
          <w:p w:rsidR="00B14E67" w:rsidRPr="00967098" w:rsidRDefault="00B14E67" w:rsidP="00967098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writing for different purposes</w:t>
            </w:r>
          </w:p>
          <w:p w:rsidR="00385739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Read aloud what they have written with appropriate intonation to make the meaning clear</w:t>
            </w:r>
          </w:p>
        </w:tc>
      </w:tr>
      <w:tr w:rsidR="00385739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385739" w:rsidRPr="00967098" w:rsidRDefault="00385739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Consider what they are going to write before beginning by:</w:t>
            </w:r>
          </w:p>
          <w:p w:rsidR="00B14E67" w:rsidRPr="00967098" w:rsidRDefault="00B14E67" w:rsidP="00967098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planning or saying out loud what they are going to write about</w:t>
            </w:r>
          </w:p>
          <w:p w:rsidR="00B14E67" w:rsidRPr="00967098" w:rsidRDefault="00B14E67" w:rsidP="00967098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writing down ideas and/or key words, including new vocabulary</w:t>
            </w:r>
          </w:p>
          <w:p w:rsidR="00385739" w:rsidRPr="00967098" w:rsidRDefault="00B14E67" w:rsidP="00967098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encapsulating what they want to say, sentence by senten</w:t>
            </w:r>
            <w:r w:rsidR="009F13E0">
              <w:rPr>
                <w:rFonts w:asciiTheme="majorHAnsi" w:hAnsiTheme="majorHAnsi" w:cstheme="majorHAnsi"/>
                <w:color w:val="333333"/>
              </w:rPr>
              <w:t>ce</w:t>
            </w:r>
          </w:p>
        </w:tc>
      </w:tr>
      <w:tr w:rsidR="00385739" w:rsidTr="00967098">
        <w:trPr>
          <w:trHeight w:val="72"/>
        </w:trPr>
        <w:tc>
          <w:tcPr>
            <w:tcW w:w="792" w:type="dxa"/>
            <w:vMerge/>
            <w:shd w:val="clear" w:color="auto" w:fill="FFD966" w:themeFill="accent4" w:themeFillTint="99"/>
          </w:tcPr>
          <w:p w:rsidR="00385739" w:rsidRPr="00967098" w:rsidRDefault="00385739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Make simple additions, revisions and corrections to their own writing by:</w:t>
            </w:r>
          </w:p>
          <w:p w:rsidR="00B14E67" w:rsidRPr="00967098" w:rsidRDefault="00B14E67" w:rsidP="00967098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evaluating their writing with the teacher and other pupils</w:t>
            </w:r>
          </w:p>
          <w:p w:rsidR="00B14E67" w:rsidRPr="00967098" w:rsidRDefault="00B14E67" w:rsidP="00967098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rereading to check that their writing makes sense and that verbs to indicate time are used correctly and consistently, including verbs in the continuous form</w:t>
            </w:r>
          </w:p>
          <w:p w:rsidR="00385739" w:rsidRPr="00967098" w:rsidRDefault="00B14E67" w:rsidP="00967098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proofreading to check for errors in spelling, grammar and punctuation (for example, ends of sentences punctuated correctly)</w:t>
            </w:r>
          </w:p>
        </w:tc>
      </w:tr>
      <w:tr w:rsidR="00385739" w:rsidTr="00967098">
        <w:tc>
          <w:tcPr>
            <w:tcW w:w="792" w:type="dxa"/>
            <w:vMerge w:val="restart"/>
            <w:shd w:val="clear" w:color="auto" w:fill="FFD966" w:themeFill="accent4" w:themeFillTint="99"/>
            <w:textDirection w:val="btLr"/>
          </w:tcPr>
          <w:p w:rsidR="00B14E67" w:rsidRPr="00967098" w:rsidRDefault="00B14E67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  <w:r w:rsidRPr="00967098">
              <w:rPr>
                <w:rFonts w:asciiTheme="majorHAnsi" w:hAnsiTheme="majorHAnsi" w:cstheme="majorHAnsi"/>
                <w:b/>
                <w:color w:val="333333"/>
              </w:rPr>
              <w:t> Vocabulary, grammar &amp; punctuation</w:t>
            </w:r>
          </w:p>
          <w:p w:rsidR="00385739" w:rsidRPr="00967098" w:rsidRDefault="00385739" w:rsidP="00967098">
            <w:pPr>
              <w:ind w:left="113" w:right="113"/>
              <w:jc w:val="center"/>
              <w:outlineLvl w:val="1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15369" w:type="dxa"/>
          </w:tcPr>
          <w:p w:rsidR="00B14E67" w:rsidRPr="00967098" w:rsidRDefault="00B14E67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Develop their understanding of the concepts set out in English </w:t>
            </w:r>
            <w:hyperlink r:id="rId7" w:tgtFrame="_blank" w:history="1">
              <w:r w:rsidRPr="00967098">
                <w:rPr>
                  <w:rFonts w:asciiTheme="majorHAnsi" w:hAnsiTheme="majorHAnsi" w:cstheme="majorHAnsi"/>
                  <w:color w:val="333333"/>
                </w:rPr>
                <w:t>Appendix 2</w:t>
              </w:r>
            </w:hyperlink>
            <w:r w:rsidRPr="00967098">
              <w:rPr>
                <w:rFonts w:asciiTheme="majorHAnsi" w:hAnsiTheme="majorHAnsi" w:cstheme="majorHAnsi"/>
                <w:color w:val="333333"/>
              </w:rPr>
              <w:t> by:</w:t>
            </w:r>
          </w:p>
          <w:p w:rsidR="00385739" w:rsidRPr="00967098" w:rsidRDefault="00B14E67" w:rsidP="00967098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how to use both familiar and new punctuation correctly (see English </w:t>
            </w:r>
            <w:hyperlink r:id="rId8" w:tgtFrame="_blank" w:history="1">
              <w:r w:rsidRPr="00967098">
                <w:rPr>
                  <w:rFonts w:asciiTheme="majorHAnsi" w:hAnsiTheme="majorHAnsi" w:cstheme="majorHAnsi"/>
                  <w:color w:val="333333"/>
                </w:rPr>
                <w:t>Appendix 2</w:t>
              </w:r>
            </w:hyperlink>
            <w:r w:rsidRPr="00967098">
              <w:rPr>
                <w:rFonts w:asciiTheme="majorHAnsi" w:hAnsiTheme="majorHAnsi" w:cstheme="majorHAnsi"/>
                <w:color w:val="333333"/>
              </w:rPr>
              <w:t>) , including full stops, capital letters, exclamation marks, question marks, commas for lists and apostrophes for contracted forms and the possessive (singular)</w:t>
            </w:r>
          </w:p>
        </w:tc>
      </w:tr>
      <w:tr w:rsidR="00385739" w:rsidTr="00967098">
        <w:tc>
          <w:tcPr>
            <w:tcW w:w="792" w:type="dxa"/>
            <w:vMerge/>
            <w:shd w:val="clear" w:color="auto" w:fill="FFD966" w:themeFill="accent4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5369" w:type="dxa"/>
          </w:tcPr>
          <w:p w:rsidR="00967098" w:rsidRPr="00967098" w:rsidRDefault="00967098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 how to use:</w:t>
            </w:r>
          </w:p>
          <w:p w:rsidR="00967098" w:rsidRPr="00967098" w:rsidRDefault="00967098" w:rsidP="0096709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sentences with different forms: statement, question, exclamation, command</w:t>
            </w:r>
          </w:p>
          <w:p w:rsidR="00967098" w:rsidRPr="00967098" w:rsidRDefault="00967098" w:rsidP="0096709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expanded noun phrases to describe and specify</w:t>
            </w:r>
          </w:p>
          <w:p w:rsidR="00967098" w:rsidRPr="00967098" w:rsidRDefault="00967098" w:rsidP="0096709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the present and past tenses correctly and consistently including the progressive form</w:t>
            </w:r>
          </w:p>
          <w:p w:rsidR="00967098" w:rsidRPr="00967098" w:rsidRDefault="00967098" w:rsidP="0096709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subordination (using when, if, that, or because) and co-ordination (using or, and, or but)</w:t>
            </w:r>
          </w:p>
          <w:p w:rsidR="00385739" w:rsidRPr="00967098" w:rsidRDefault="00967098" w:rsidP="00967098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learning the grammar for year 2 in English </w:t>
            </w:r>
            <w:hyperlink r:id="rId9" w:tgtFrame="_blank" w:history="1">
              <w:r w:rsidRPr="00967098">
                <w:rPr>
                  <w:rFonts w:asciiTheme="majorHAnsi" w:hAnsiTheme="majorHAnsi" w:cstheme="majorHAnsi"/>
                  <w:color w:val="333333"/>
                </w:rPr>
                <w:t>Appendix 2</w:t>
              </w:r>
            </w:hyperlink>
          </w:p>
        </w:tc>
      </w:tr>
      <w:tr w:rsidR="00967098" w:rsidTr="00967098">
        <w:trPr>
          <w:trHeight w:val="375"/>
        </w:trPr>
        <w:tc>
          <w:tcPr>
            <w:tcW w:w="792" w:type="dxa"/>
            <w:vMerge/>
            <w:shd w:val="clear" w:color="auto" w:fill="FFD966" w:themeFill="accent4" w:themeFillTint="99"/>
          </w:tcPr>
          <w:p w:rsidR="00967098" w:rsidRPr="00385739" w:rsidRDefault="00967098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5369" w:type="dxa"/>
          </w:tcPr>
          <w:p w:rsidR="00967098" w:rsidRPr="00967098" w:rsidRDefault="00967098" w:rsidP="00967098">
            <w:pPr>
              <w:rPr>
                <w:rFonts w:asciiTheme="majorHAnsi" w:hAnsiTheme="majorHAnsi" w:cstheme="majorHAnsi"/>
                <w:color w:val="333333"/>
              </w:rPr>
            </w:pPr>
            <w:r w:rsidRPr="00967098">
              <w:rPr>
                <w:rFonts w:asciiTheme="majorHAnsi" w:hAnsiTheme="majorHAnsi" w:cstheme="majorHAnsi"/>
                <w:color w:val="333333"/>
              </w:rPr>
              <w:t>Use and understand the grammatical terminology in English </w:t>
            </w:r>
            <w:hyperlink r:id="rId10" w:tgtFrame="_blank" w:history="1">
              <w:r w:rsidRPr="00967098">
                <w:rPr>
                  <w:rFonts w:asciiTheme="majorHAnsi" w:hAnsiTheme="majorHAnsi" w:cstheme="majorHAnsi"/>
                  <w:color w:val="333333"/>
                </w:rPr>
                <w:t>Appendix 2</w:t>
              </w:r>
            </w:hyperlink>
            <w:r w:rsidRPr="00967098">
              <w:rPr>
                <w:rFonts w:asciiTheme="majorHAnsi" w:hAnsiTheme="majorHAnsi" w:cstheme="majorHAnsi"/>
                <w:color w:val="333333"/>
              </w:rPr>
              <w:t> in discussing their writing and reading</w:t>
            </w:r>
          </w:p>
        </w:tc>
      </w:tr>
    </w:tbl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Default="00967098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C8A6C02" wp14:editId="1260917C">
            <wp:extent cx="4390146" cy="55039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4679" cy="550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1" w:name="TOC-Ma2-2.2-Addition-Subtraction"/>
      <w:bookmarkStart w:id="2" w:name="TOC-Ma2-2.4-Fractions-"/>
      <w:bookmarkStart w:id="3" w:name="TOC-Ma2-3.1-Measurement"/>
      <w:bookmarkStart w:id="4" w:name="_GoBack"/>
      <w:bookmarkEnd w:id="1"/>
      <w:bookmarkEnd w:id="2"/>
      <w:bookmarkEnd w:id="3"/>
      <w:bookmarkEnd w:id="4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5" w:name="TOC-Ma2-3.2-Properties-of-Shapes"/>
      <w:bookmarkEnd w:id="5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6" w:name="TOC-Ma2-3.3-Position-Direction"/>
      <w:bookmarkEnd w:id="6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7" w:name="TOC-Ma2-4.1-Statistics"/>
      <w:bookmarkEnd w:id="7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22C04" w:rsidRDefault="00822C04" w:rsidP="002462FD"/>
    <w:sectPr w:rsidR="00822C04" w:rsidSect="00246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227"/>
    <w:multiLevelType w:val="multilevel"/>
    <w:tmpl w:val="44E464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3DA"/>
    <w:multiLevelType w:val="multilevel"/>
    <w:tmpl w:val="3E78FE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6FFC"/>
    <w:multiLevelType w:val="multilevel"/>
    <w:tmpl w:val="C4268A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01CE9"/>
    <w:multiLevelType w:val="multilevel"/>
    <w:tmpl w:val="9FE829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A5A19"/>
    <w:multiLevelType w:val="multilevel"/>
    <w:tmpl w:val="80548D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B6F85"/>
    <w:multiLevelType w:val="multilevel"/>
    <w:tmpl w:val="095C5E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73F9C"/>
    <w:multiLevelType w:val="multilevel"/>
    <w:tmpl w:val="C4268A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C4009"/>
    <w:multiLevelType w:val="multilevel"/>
    <w:tmpl w:val="C706C3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13CC1"/>
    <w:multiLevelType w:val="multilevel"/>
    <w:tmpl w:val="CC06AE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B0E5E"/>
    <w:multiLevelType w:val="multilevel"/>
    <w:tmpl w:val="B8726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7650F"/>
    <w:multiLevelType w:val="multilevel"/>
    <w:tmpl w:val="8DCEB9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D"/>
    <w:rsid w:val="0008342E"/>
    <w:rsid w:val="002462FD"/>
    <w:rsid w:val="00385739"/>
    <w:rsid w:val="00822C04"/>
    <w:rsid w:val="00967098"/>
    <w:rsid w:val="009961EA"/>
    <w:rsid w:val="009F13E0"/>
    <w:rsid w:val="009F40D8"/>
    <w:rsid w:val="00B14E67"/>
    <w:rsid w:val="00D165B9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9B78"/>
  <w15:chartTrackingRefBased/>
  <w15:docId w15:val="{19400FFF-D3E9-484D-8C81-458305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2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6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4E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curriculum.me.uk/Appendix2.pdf?attredirects=0&amp;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ycurriculum.me.uk/Appendix2.pdf?attredirects=0&amp;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curriculum.me.uk/Appendix1.pdf?attredirects=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primarycurriculum.me.uk/Appendix2.pdf?attredirects=0&amp;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curriculum.me.uk/Appendix2.pdf?attredirects=0&amp;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9B3E4554</Template>
  <TotalTime>44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Monaghan</dc:creator>
  <cp:keywords/>
  <dc:description/>
  <cp:lastModifiedBy>Ros Monaghan</cp:lastModifiedBy>
  <cp:revision>7</cp:revision>
  <cp:lastPrinted>2020-03-20T10:50:00Z</cp:lastPrinted>
  <dcterms:created xsi:type="dcterms:W3CDTF">2020-03-20T10:18:00Z</dcterms:created>
  <dcterms:modified xsi:type="dcterms:W3CDTF">2020-03-20T17:37:00Z</dcterms:modified>
</cp:coreProperties>
</file>